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A33" w:rsidRDefault="00276A33" w:rsidP="00276A33">
      <w:pPr>
        <w:rPr>
          <w:rFonts w:ascii="Arial" w:hAnsi="Arial" w:cs="Arial"/>
          <w:b/>
        </w:rPr>
      </w:pPr>
      <w:bookmarkStart w:id="0" w:name="_GoBack"/>
      <w:bookmarkEnd w:id="0"/>
    </w:p>
    <w:p w:rsidR="00276A33" w:rsidRDefault="00276A33" w:rsidP="00276A33">
      <w:pPr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Příloha č. </w:t>
      </w:r>
      <w:r w:rsidR="0046470E">
        <w:rPr>
          <w:rFonts w:ascii="Arial" w:hAnsi="Arial" w:cs="Arial"/>
          <w:b/>
        </w:rPr>
        <w:t>2 Rámcové smlouvy o dílo č. S</w:t>
      </w:r>
      <w:r w:rsidR="00DA1909">
        <w:rPr>
          <w:rFonts w:ascii="Arial" w:hAnsi="Arial" w:cs="Arial"/>
          <w:b/>
        </w:rPr>
        <w:t>26</w:t>
      </w:r>
      <w:r>
        <w:rPr>
          <w:rFonts w:ascii="Arial" w:hAnsi="Arial" w:cs="Arial"/>
          <w:b/>
        </w:rPr>
        <w:t>/</w:t>
      </w:r>
      <w:r w:rsidR="00DA1909">
        <w:rPr>
          <w:rFonts w:ascii="Arial" w:hAnsi="Arial" w:cs="Arial"/>
          <w:b/>
        </w:rPr>
        <w:t>20</w:t>
      </w:r>
    </w:p>
    <w:p w:rsidR="00276A33" w:rsidRPr="00755469" w:rsidRDefault="00276A33" w:rsidP="00276A33">
      <w:pPr>
        <w:rPr>
          <w:rFonts w:ascii="Arial" w:hAnsi="Arial" w:cs="Arial"/>
          <w:b/>
        </w:rPr>
      </w:pPr>
    </w:p>
    <w:p w:rsidR="00276A33" w:rsidRPr="004E2776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  <w:lang w:val="cs-CZ"/>
        </w:rPr>
        <w:t>zhotovovaných a dodávaných</w:t>
      </w:r>
      <w:r>
        <w:rPr>
          <w:rFonts w:cs="Arial"/>
          <w:sz w:val="20"/>
          <w:szCs w:val="20"/>
        </w:rPr>
        <w:t xml:space="preserve"> dílů</w:t>
      </w:r>
    </w:p>
    <w:p w:rsidR="00276A33" w:rsidRPr="0027630D" w:rsidRDefault="00276A33" w:rsidP="00276A33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Pr="0027630D">
        <w:rPr>
          <w:rFonts w:ascii="Arial" w:hAnsi="Arial" w:cs="Arial"/>
        </w:rPr>
        <w:t xml:space="preserve">smlouvy </w:t>
      </w:r>
      <w:r>
        <w:rPr>
          <w:rFonts w:ascii="Arial" w:hAnsi="Arial" w:cs="Arial"/>
          <w:lang w:val="cs-CZ"/>
        </w:rPr>
        <w:t xml:space="preserve">o dílo </w:t>
      </w:r>
      <w:r w:rsidRPr="0027630D">
        <w:rPr>
          <w:rFonts w:ascii="Arial" w:hAnsi="Arial" w:cs="Arial"/>
        </w:rPr>
        <w:t xml:space="preserve">na </w:t>
      </w:r>
      <w:r w:rsidR="00BD3819">
        <w:rPr>
          <w:rFonts w:ascii="Arial" w:hAnsi="Arial" w:cs="Arial"/>
          <w:lang w:val="cs-CZ"/>
        </w:rPr>
        <w:t>povrchové úpravy – zinkování a chromátování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:rsidR="00276A33" w:rsidRPr="0027630D" w:rsidRDefault="00276A33" w:rsidP="00276A33">
      <w:pPr>
        <w:ind w:left="708" w:hanging="708"/>
        <w:jc w:val="both"/>
        <w:rPr>
          <w:rFonts w:ascii="Arial" w:hAnsi="Arial" w:cs="Arial"/>
        </w:rPr>
      </w:pPr>
    </w:p>
    <w:p w:rsidR="00276A33" w:rsidRPr="0027630D" w:rsidRDefault="00276A33" w:rsidP="00276A33">
      <w:pPr>
        <w:ind w:left="708" w:hanging="708"/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:rsidR="00276A33" w:rsidRPr="0027630D" w:rsidRDefault="00276A33" w:rsidP="00276A33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:rsidR="00276A33" w:rsidRPr="0027630D" w:rsidRDefault="00276A33" w:rsidP="00276A33">
      <w:pPr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>zhotovovaných a dodávaných</w:t>
      </w:r>
      <w:r w:rsidR="00E54EEA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 xml:space="preserve"> 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, minimálně však po dobu 30-ti měsíců.</w:t>
      </w:r>
    </w:p>
    <w:p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dokumentace 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jakosti </w:t>
      </w:r>
      <w:r w:rsidRPr="0027630D">
        <w:rPr>
          <w:rFonts w:ascii="Arial" w:hAnsi="Arial" w:cs="Arial"/>
        </w:rPr>
        <w:t xml:space="preserve"> dodaný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platí shodná ustanovení  jako u nepoužitelných neshodných dodávek dle odst. 3.</w:t>
      </w:r>
      <w:r w:rsidR="0046470E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9. a násl. tohoto </w:t>
      </w:r>
      <w:r w:rsidRPr="0027630D">
        <w:rPr>
          <w:rFonts w:ascii="Arial" w:hAnsi="Arial" w:cs="Arial"/>
        </w:rPr>
        <w:lastRenderedPageBreak/>
        <w:t xml:space="preserve">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:rsidR="00276A33" w:rsidRPr="0027630D" w:rsidRDefault="00276A33" w:rsidP="00276A33">
      <w:pPr>
        <w:pStyle w:val="Nadpis1"/>
        <w:rPr>
          <w:rFonts w:ascii="Arial" w:hAnsi="Arial" w:cs="Arial"/>
          <w:sz w:val="20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:rsidR="00276A33" w:rsidRPr="00B5226E" w:rsidRDefault="00276A33" w:rsidP="00276A33">
      <w:pPr>
        <w:pStyle w:val="Nadpis1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:rsidR="00276A33" w:rsidRPr="0027630D" w:rsidRDefault="00276A33" w:rsidP="00276A33">
      <w:pPr>
        <w:jc w:val="both"/>
        <w:rPr>
          <w:rFonts w:ascii="Arial" w:hAnsi="Arial" w:cs="Arial"/>
          <w:bCs/>
        </w:rPr>
      </w:pP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46470E" w:rsidRDefault="0046470E" w:rsidP="00276A33">
      <w:pPr>
        <w:jc w:val="both"/>
        <w:rPr>
          <w:rFonts w:ascii="Arial" w:hAnsi="Arial" w:cs="Arial"/>
        </w:rPr>
      </w:pPr>
    </w:p>
    <w:p w:rsidR="0046470E" w:rsidRDefault="0046470E" w:rsidP="00276A33">
      <w:pPr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V.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10</w:t>
      </w:r>
      <w:r w:rsidRPr="0027630D">
        <w:rPr>
          <w:rFonts w:ascii="Arial" w:hAnsi="Arial" w:cs="Arial"/>
          <w:vertAlign w:val="superscript"/>
        </w:rPr>
        <w:t xml:space="preserve">- 6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ppm.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v  článku III. těchto Závazných podmínek jakosti.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276A33">
      <w:pPr>
        <w:pStyle w:val="Nadpis1"/>
        <w:spacing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Stav technické změny (index změny na technickém výkrese).</w:t>
      </w:r>
    </w:p>
    <w:p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:rsidR="00276A33" w:rsidRPr="00EE238D" w:rsidRDefault="00276A33" w:rsidP="00276A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 odsouhlasení vzorků při vzorkovém řízení provádí objednatel</w:t>
      </w:r>
      <w:r>
        <w:rPr>
          <w:rFonts w:ascii="Arial" w:hAnsi="Arial" w:cs="Arial"/>
        </w:rPr>
        <w:t>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:rsidR="00276A33" w:rsidRPr="0027630D" w:rsidRDefault="00276A33" w:rsidP="00276A33">
      <w:pPr>
        <w:jc w:val="both"/>
        <w:rPr>
          <w:rFonts w:ascii="Arial" w:hAnsi="Arial" w:cs="Arial"/>
          <w:bCs/>
        </w:rPr>
      </w:pPr>
    </w:p>
    <w:p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Bc. Jan Faluši, strategický nákup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7" w:history="1">
        <w:r w:rsidRPr="00FD772E">
          <w:rPr>
            <w:rStyle w:val="Hypertextovodkaz"/>
            <w:rFonts w:ascii="Arial" w:hAnsi="Arial" w:cs="Arial"/>
          </w:rPr>
          <w:t>falusi.j@vop.cz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556 783  411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účely plnění: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1E596F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Petr Urban</w:t>
      </w:r>
      <w:r w:rsidR="00276A33" w:rsidRPr="00FD772E">
        <w:rPr>
          <w:rFonts w:ascii="Arial" w:hAnsi="Arial" w:cs="Arial"/>
        </w:rPr>
        <w:t>, operativní nákup</w:t>
      </w:r>
      <w:r>
        <w:rPr>
          <w:rFonts w:ascii="Arial" w:hAnsi="Arial" w:cs="Arial"/>
        </w:rPr>
        <w:t xml:space="preserve"> - kooperace</w:t>
      </w:r>
      <w:r w:rsidR="00276A33" w:rsidRPr="00FD772E">
        <w:rPr>
          <w:rFonts w:ascii="Arial" w:hAnsi="Arial" w:cs="Arial"/>
        </w:rPr>
        <w:tab/>
        <w:t xml:space="preserve">    </w:t>
      </w:r>
      <w:r w:rsidR="0046470E">
        <w:rPr>
          <w:rFonts w:ascii="Arial" w:hAnsi="Arial" w:cs="Arial"/>
        </w:rPr>
        <w:tab/>
      </w:r>
      <w:r w:rsidR="0046470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 xml:space="preserve">………………….. </w:t>
      </w:r>
      <w:r w:rsidR="00276A33"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9" w:history="1">
        <w:r w:rsidR="001E596F" w:rsidRPr="00F31498">
          <w:rPr>
            <w:rStyle w:val="Hypertextovodkaz"/>
            <w:rFonts w:ascii="Arial" w:hAnsi="Arial" w:cs="Arial"/>
          </w:rPr>
          <w:t>urban.p@vop.cz</w:t>
        </w:r>
      </w:hyperlink>
      <w:r w:rsidRPr="00FD772E">
        <w:rPr>
          <w:rFonts w:ascii="Arial" w:hAnsi="Arial" w:cs="Arial"/>
        </w:rPr>
        <w:tab/>
        <w:t xml:space="preserve">            </w:t>
      </w:r>
      <w:r w:rsidR="0046470E">
        <w:rPr>
          <w:rFonts w:ascii="Arial" w:hAnsi="Arial" w:cs="Arial"/>
        </w:rPr>
        <w:tab/>
      </w:r>
      <w:r w:rsidR="0046470E">
        <w:rPr>
          <w:rFonts w:ascii="Arial" w:hAnsi="Arial" w:cs="Arial"/>
        </w:rPr>
        <w:tab/>
      </w:r>
      <w:r w:rsidRPr="00FD772E">
        <w:rPr>
          <w:rFonts w:ascii="Arial" w:hAnsi="Arial" w:cs="Arial"/>
        </w:rPr>
        <w:t xml:space="preserve">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</w:t>
      </w:r>
      <w:r w:rsidR="001E596F">
        <w:rPr>
          <w:rFonts w:ascii="Arial" w:hAnsi="Arial" w:cs="Arial"/>
        </w:rPr>
        <w:t xml:space="preserve">  556 783 368</w:t>
      </w:r>
      <w:r w:rsidRPr="00FD772E">
        <w:rPr>
          <w:rFonts w:ascii="Arial" w:hAnsi="Arial" w:cs="Arial"/>
        </w:rPr>
        <w:tab/>
        <w:t xml:space="preserve">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:rsidR="00276A33" w:rsidRPr="0027630D" w:rsidRDefault="00276A33" w:rsidP="00276A33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ab/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:rsidR="00431AFF" w:rsidRDefault="00431AFF"/>
    <w:sectPr w:rsidR="00431AFF" w:rsidSect="008F311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A2B" w:rsidRDefault="0046470E">
      <w:r>
        <w:separator/>
      </w:r>
    </w:p>
  </w:endnote>
  <w:endnote w:type="continuationSeparator" w:id="0">
    <w:p w:rsidR="00D06A2B" w:rsidRDefault="0046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4D6452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:rsidR="00FB77EC" w:rsidRDefault="004D64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A2B" w:rsidRDefault="0046470E">
      <w:r>
        <w:separator/>
      </w:r>
    </w:p>
  </w:footnote>
  <w:footnote w:type="continuationSeparator" w:id="0">
    <w:p w:rsidR="00D06A2B" w:rsidRDefault="00464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A33"/>
    <w:rsid w:val="00007808"/>
    <w:rsid w:val="001E596F"/>
    <w:rsid w:val="00276A33"/>
    <w:rsid w:val="0030000A"/>
    <w:rsid w:val="00431AFF"/>
    <w:rsid w:val="0046470E"/>
    <w:rsid w:val="004952A1"/>
    <w:rsid w:val="004D6452"/>
    <w:rsid w:val="00755BC1"/>
    <w:rsid w:val="008071A2"/>
    <w:rsid w:val="00945949"/>
    <w:rsid w:val="00B55FFC"/>
    <w:rsid w:val="00BD3819"/>
    <w:rsid w:val="00D06A2B"/>
    <w:rsid w:val="00DA1909"/>
    <w:rsid w:val="00E5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C3ACB-DA62-474A-A703-BE9C34F8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lusi.j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urban.p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2680</Words>
  <Characters>15815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Bartoň Bronislav</cp:lastModifiedBy>
  <cp:revision>2</cp:revision>
  <dcterms:created xsi:type="dcterms:W3CDTF">2020-02-10T10:06:00Z</dcterms:created>
  <dcterms:modified xsi:type="dcterms:W3CDTF">2020-02-10T10:06:00Z</dcterms:modified>
</cp:coreProperties>
</file>